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Product identifier</w:t>
      </w:r>
    </w:p>
    <w:p>
      <w:pPr>
        <w:numPr>
          <w:ilvl w:val="0"/>
          <w:numId w:val="0"/>
        </w:numPr>
        <w:spacing w:after="0" w:line="240" w:lineRule="auto"/>
        <w:ind w:right="-20" w:rightChars="0"/>
        <w:rPr>
          <w:rFonts w:ascii="Arial" w:hAnsi="Arial" w:cs="Arial"/>
        </w:rPr>
      </w:pPr>
    </w:p>
    <w:p>
      <w:pPr>
        <w:numPr>
          <w:ilvl w:val="0"/>
          <w:numId w:val="0"/>
        </w:numPr>
        <w:spacing w:after="0" w:line="240" w:lineRule="auto"/>
        <w:ind w:left="710" w:leftChars="0" w:right="-20" w:rightChars="0"/>
        <w:rPr>
          <w:rFonts w:hint="eastAsia" w:ascii="Arial" w:hAnsi="Arial" w:cs="Arial"/>
        </w:rPr>
      </w:pPr>
      <w:r>
        <w:rPr>
          <w:rFonts w:hint="eastAsia" w:ascii="Arial" w:hAnsi="Arial" w:cs="Arial"/>
        </w:rPr>
        <w:t>RZ-AX2017</w:t>
      </w:r>
      <w:r>
        <w:rPr>
          <w:rFonts w:hint="eastAsia" w:ascii="Arial" w:hAnsi="Arial" w:cs="Arial"/>
          <w:lang w:val="en-US" w:eastAsia="zh-CN"/>
        </w:rPr>
        <w:t xml:space="preserve">  </w:t>
      </w:r>
      <w:r>
        <w:rPr>
          <w:rFonts w:hint="eastAsia" w:ascii="Arial" w:hAnsi="Arial" w:cs="Arial"/>
        </w:rPr>
        <w:t xml:space="preserve"> Plastic Particle Topcoat</w:t>
      </w:r>
    </w:p>
    <w:p>
      <w:pPr>
        <w:numPr>
          <w:ilvl w:val="0"/>
          <w:numId w:val="0"/>
        </w:numPr>
        <w:spacing w:after="0" w:line="240" w:lineRule="auto"/>
        <w:ind w:left="710" w:leftChars="0" w:right="-20" w:rightChars="0"/>
        <w:rPr>
          <w:rFonts w:ascii="Arial" w:hAnsi="Arial" w:cs="Arial"/>
        </w:rPr>
      </w:pPr>
      <w:r>
        <w:rPr>
          <w:rFonts w:hint="eastAsia" w:ascii="Arial" w:hAnsi="Arial" w:cs="Arial"/>
        </w:rPr>
        <w:t xml:space="preserve"> </w:t>
      </w:r>
      <w:r>
        <w:rPr>
          <w:rFonts w:ascii="Arial" w:hAnsi="Arial" w:cs="Arial"/>
        </w:rPr>
        <w:t xml:space="preserve">1L，3.75L </w:t>
      </w:r>
    </w:p>
    <w:p>
      <w:pPr>
        <w:spacing w:before="13" w:after="0" w:line="240" w:lineRule="exact"/>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p>
    <w:p>
      <w:pPr>
        <w:spacing w:before="13" w:after="0" w:line="240" w:lineRule="exact"/>
        <w:ind w:firstLine="720" w:firstLineChars="300"/>
        <w:rPr>
          <w:rFonts w:hint="eastAsia" w:ascii="Arial" w:hAnsi="Arial" w:cs="Arial"/>
          <w:sz w:val="24"/>
          <w:szCs w:val="24"/>
          <w:lang w:val="en-US" w:eastAsia="zh-CN"/>
        </w:rPr>
      </w:pPr>
      <w:bookmarkStart w:id="0" w:name="_GoBack"/>
      <w:bookmarkEnd w:id="0"/>
    </w:p>
    <w:p>
      <w:pPr>
        <w:spacing w:before="13" w:after="0" w:line="240" w:lineRule="exact"/>
        <w:ind w:firstLine="960" w:firstLineChars="400"/>
        <w:rPr>
          <w:rFonts w:hint="eastAsia" w:ascii="Arial" w:hAnsi="Arial" w:cs="Arial"/>
          <w:sz w:val="24"/>
          <w:szCs w:val="24"/>
          <w:lang w:val="en-US" w:eastAsia="zh-CN"/>
        </w:rPr>
      </w:pPr>
      <w:r>
        <w:rPr>
          <w:rFonts w:hint="eastAsia" w:ascii="Arial" w:hAnsi="Arial" w:cs="Arial"/>
          <w:sz w:val="24"/>
          <w:szCs w:val="24"/>
          <w:lang w:val="en-US" w:eastAsia="zh-CN"/>
        </w:rPr>
        <w:t xml:space="preserve">Guangzhou Wonder Coating Technology Co.,Ltd. </w:t>
      </w:r>
    </w:p>
    <w:p>
      <w:pPr>
        <w:spacing w:before="13" w:after="0" w:line="240" w:lineRule="exact"/>
        <w:ind w:left="959" w:leftChars="436" w:firstLine="0" w:firstLineChars="0"/>
        <w:rPr>
          <w:rFonts w:ascii="Arial" w:hAnsi="Arial" w:cs="Arial"/>
          <w:sz w:val="24"/>
          <w:szCs w:val="24"/>
        </w:rPr>
      </w:pPr>
      <w:r>
        <w:rPr>
          <w:rFonts w:ascii="Arial" w:hAnsi="Arial" w:cs="Arial"/>
          <w:sz w:val="24"/>
          <w:szCs w:val="24"/>
        </w:rPr>
        <w:t>Suite 718, Wins Business Center, No.78 Jiefangzhuang Road, Baiyun District, Guangzhou</w:t>
      </w:r>
      <w:r>
        <w:rPr>
          <w:rFonts w:hint="eastAsia" w:ascii="Arial" w:hAnsi="Arial" w:cs="Arial"/>
          <w:sz w:val="24"/>
          <w:szCs w:val="24"/>
          <w:lang w:val="en-US" w:eastAsia="zh-CN"/>
        </w:rPr>
        <w:t xml:space="preserve"> </w:t>
      </w:r>
      <w:r>
        <w:rPr>
          <w:rFonts w:ascii="Arial" w:hAnsi="Arial" w:cs="Arial"/>
          <w:sz w:val="24"/>
          <w:szCs w:val="24"/>
        </w:rPr>
        <w:t>City, P.R.</w:t>
      </w:r>
      <w:r>
        <w:rPr>
          <w:rFonts w:hint="eastAsia" w:ascii="Arial" w:hAnsi="Arial" w:cs="Arial"/>
          <w:sz w:val="24"/>
          <w:szCs w:val="24"/>
          <w:lang w:val="en-US" w:eastAsia="zh-CN"/>
        </w:rPr>
        <w:t xml:space="preserve"> </w:t>
      </w:r>
      <w:r>
        <w:rPr>
          <w:rFonts w:ascii="Arial" w:hAnsi="Arial" w:cs="Arial"/>
          <w:sz w:val="24"/>
          <w:szCs w:val="24"/>
        </w:rPr>
        <w:t>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after="0" w:line="254" w:lineRule="auto"/>
        <w:ind w:left="710" w:right="416"/>
        <w:jc w:val="both"/>
        <w:rPr>
          <w:rFonts w:ascii="Arial" w:hAnsi="Arial" w:eastAsia="Times New Roman" w:cs="Arial"/>
          <w:sz w:val="24"/>
          <w:szCs w:val="24"/>
        </w:rPr>
      </w:pPr>
    </w:p>
    <w:p>
      <w:pPr>
        <w:spacing w:before="1" w:after="0" w:line="26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w:t>
      </w: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7"/>
        <w:gridCol w:w="3625"/>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12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271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Acrylic Resin</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35-40%</w:t>
            </w:r>
          </w:p>
        </w:tc>
        <w:tc>
          <w:tcPr>
            <w:tcW w:w="2718"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79-10-7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Methyl Isobutyl Ketone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Carbon Black</w:t>
            </w:r>
          </w:p>
        </w:tc>
        <w:tc>
          <w:tcPr>
            <w:tcW w:w="3625" w:type="dxa"/>
            <w:shd w:val="clear" w:color="auto" w:fill="auto"/>
          </w:tcPr>
          <w:p>
            <w:pPr>
              <w:spacing w:before="10" w:after="0" w:line="240" w:lineRule="exact"/>
              <w:jc w:val="center"/>
              <w:rPr>
                <w:rFonts w:hint="default" w:ascii="Arial" w:hAnsi="Arial" w:cs="Arial"/>
                <w:sz w:val="24"/>
                <w:szCs w:val="24"/>
                <w:lang w:val="en-US" w:eastAsia="zh-CN"/>
              </w:rPr>
            </w:pPr>
            <w:r>
              <w:rPr>
                <w:rFonts w:hint="eastAsia" w:eastAsia="Times New Roman" w:cs="Calibri"/>
                <w:color w:val="000000"/>
                <w:sz w:val="24"/>
                <w:szCs w:val="24"/>
                <w:lang w:eastAsia="zh-CN"/>
              </w:rPr>
              <w:t>0-2</w:t>
            </w:r>
            <w:r>
              <w:rPr>
                <w:rFonts w:hint="eastAsia" w:eastAsia="Times New Roman" w:cs="Calibri"/>
                <w:color w:val="000000"/>
                <w:sz w:val="24"/>
                <w:szCs w:val="24"/>
                <w:lang w:val="en-US" w:eastAsia="zh-CN"/>
              </w:rPr>
              <w:t>%</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1333-86-4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Cellulose acetate butanoate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9004-36-8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N-Butylacetate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20-30%</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12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Toluene</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0-5%</w:t>
            </w:r>
          </w:p>
        </w:tc>
        <w:tc>
          <w:tcPr>
            <w:tcW w:w="2718"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108-88-3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2-Acetoxy-1-methoxypropane (PMA)</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1330-20-7</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719" w:leftChars="327"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hint="default" w:ascii="Arial" w:hAnsi="Arial" w:cs="Arial"/>
          <w:sz w:val="24"/>
          <w:szCs w:val="24"/>
          <w:lang w:val="en-US" w:eastAsia="zh-CN"/>
        </w:rPr>
      </w:pPr>
      <w:r>
        <w:rPr>
          <w:rFonts w:hint="eastAsia" w:ascii="Arial" w:hAnsi="Arial" w:cs="Arial"/>
          <w:sz w:val="24"/>
          <w:szCs w:val="24"/>
          <w:lang w:val="en-US" w:eastAsia="zh-CN"/>
        </w:rPr>
        <w:t xml:space="preserve">   </w:t>
      </w: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10" w:after="0" w:line="200" w:lineRule="exact"/>
        <w:rPr>
          <w:rFonts w:ascii="Arial" w:hAnsi="Arial" w:cs="Arial"/>
          <w:sz w:val="24"/>
          <w:szCs w:val="24"/>
        </w:rPr>
      </w:pPr>
    </w:p>
    <w:p>
      <w:pPr>
        <w:spacing w:before="10" w:after="0" w:line="20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hint="eastAsia"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hint="eastAsia"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 data available.</w:t>
      </w:r>
    </w:p>
    <w:p>
      <w:pPr>
        <w:spacing w:before="36" w:after="0" w:line="240" w:lineRule="auto"/>
        <w:ind w:right="-20" w:firstLine="480" w:firstLineChars="200"/>
        <w:rPr>
          <w:rFonts w:ascii="Arial" w:hAnsi="Arial" w:eastAsia="Times New Roman" w:cs="Arial"/>
          <w:b/>
          <w:bCs/>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ascii="Arial" w:hAnsi="Arial" w:cs="Arial"/>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36" w:after="0" w:line="240" w:lineRule="auto"/>
        <w:ind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spacing w:before="36" w:after="0" w:line="240" w:lineRule="auto"/>
        <w:ind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lang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1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1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40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40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40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p>
            <w:pPr>
              <w:spacing w:before="13" w:after="0" w:line="240" w:lineRule="exact"/>
              <w:rPr>
                <w:rFonts w:ascii="Arial" w:hAnsi="Arial" w:cs="Arial"/>
                <w:sz w:val="24"/>
                <w:szCs w:val="24"/>
                <w:lang w:eastAsia="zh-CN"/>
              </w:rPr>
            </w:pPr>
          </w:p>
        </w:tc>
        <w:tc>
          <w:tcPr>
            <w:tcW w:w="440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AIHA WEEL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40" w:after="0" w:line="240" w:lineRule="auto"/>
        <w:ind w:right="-20" w:firstLine="720" w:firstLineChars="30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p>
    <w:p>
      <w:pPr>
        <w:spacing w:before="40" w:after="0" w:line="240" w:lineRule="auto"/>
        <w:ind w:left="710" w:right="-20"/>
        <w:rPr>
          <w:rFonts w:ascii="Arial" w:hAnsi="Arial" w:cs="Arial"/>
          <w:sz w:val="24"/>
          <w:szCs w:val="24"/>
          <w:lang w:eastAsia="zh-CN"/>
        </w:rPr>
      </w:pPr>
    </w:p>
    <w:p>
      <w:pPr>
        <w:spacing w:before="40" w:after="0" w:line="254" w:lineRule="auto"/>
        <w:ind w:left="710" w:right="416"/>
        <w:rPr>
          <w:rFonts w:ascii="Arial" w:hAnsi="Arial" w:eastAsia="Times New Roman" w:cs="Arial"/>
          <w:sz w:val="24"/>
          <w:szCs w:val="24"/>
        </w:rPr>
      </w:pP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See section 7 and 12</w:t>
      </w:r>
      <w:r>
        <w:rPr>
          <w:rFonts w:hint="eastAsia" w:ascii="Arial" w:hAnsi="Arial" w:cs="Arial"/>
          <w:position w:val="1"/>
          <w:sz w:val="24"/>
          <w:szCs w:val="24"/>
          <w:lang w:eastAsia="zh-CN"/>
        </w:rPr>
        <w:t xml:space="preserve"> </w:t>
      </w:r>
    </w:p>
    <w:p>
      <w:pPr>
        <w:spacing w:after="0" w:line="220" w:lineRule="exact"/>
        <w:ind w:left="710" w:right="-20"/>
        <w:rPr>
          <w:rFonts w:hint="eastAsia" w:ascii="Arial" w:hAnsi="Arial" w:cs="Arial"/>
          <w:position w:val="1"/>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w:t>
      </w: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ascii="Arial" w:hAnsi="Arial" w:cs="Arial"/>
          <w:sz w:val="24"/>
          <w:szCs w:val="24"/>
          <w:lang w:eastAsia="zh-CN"/>
        </w:rPr>
        <w:t>General Black</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eastAsiaTheme="minorEastAsia"/>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eastAsiaTheme="minorEastAsia"/>
          <w:sz w:val="24"/>
          <w:szCs w:val="24"/>
          <w:lang w:eastAsia="zh-CN"/>
        </w:rPr>
        <w:t>0.</w:t>
      </w:r>
      <w:r>
        <w:rPr>
          <w:rFonts w:ascii="Arial" w:hAnsi="Arial" w:eastAsia="Times New Roman" w:cs="Arial"/>
          <w:sz w:val="24"/>
          <w:szCs w:val="24"/>
        </w:rPr>
        <w:t>9</w:t>
      </w:r>
      <w:r>
        <w:rPr>
          <w:rFonts w:hint="eastAsia" w:ascii="Arial" w:hAnsi="Arial" w:cs="Arial" w:eastAsiaTheme="minorEastAsia"/>
          <w:sz w:val="24"/>
          <w:szCs w:val="24"/>
          <w:lang w:eastAsia="zh-CN"/>
        </w:rPr>
        <w:t>71</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Weight Solids (w/w):  3</w:t>
      </w:r>
      <w:r>
        <w:rPr>
          <w:rFonts w:hint="eastAsia" w:ascii="Arial" w:hAnsi="Arial" w:cs="Arial" w:eastAsiaTheme="minorEastAsia"/>
          <w:sz w:val="24"/>
          <w:szCs w:val="24"/>
          <w:lang w:eastAsia="zh-CN"/>
        </w:rPr>
        <w:t>6</w:t>
      </w:r>
      <w:r>
        <w:rPr>
          <w:rFonts w:ascii="Arial" w:hAnsi="Arial" w:eastAsia="Times New Roman" w:cs="Arial"/>
          <w:sz w:val="24"/>
          <w:szCs w:val="24"/>
        </w:rPr>
        <w:t>.</w:t>
      </w:r>
      <w:r>
        <w:rPr>
          <w:rFonts w:hint="eastAsia" w:ascii="Arial" w:hAnsi="Arial" w:cs="Arial" w:eastAsiaTheme="minorEastAsia"/>
          <w:sz w:val="24"/>
          <w:szCs w:val="24"/>
          <w:lang w:eastAsia="zh-CN"/>
        </w:rPr>
        <w:t>6</w:t>
      </w:r>
      <w:r>
        <w:rPr>
          <w:rFonts w:ascii="Arial" w:hAnsi="Arial" w:eastAsia="Times New Roman" w:cs="Arial"/>
          <w:sz w:val="24"/>
          <w:szCs w:val="24"/>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eastAsiaTheme="minorEastAsia"/>
          <w:sz w:val="24"/>
          <w:szCs w:val="24"/>
          <w:lang w:val="en-US" w:eastAsia="zh-CN"/>
        </w:rPr>
        <w:t>293.15</w:t>
      </w:r>
      <w:r>
        <w:rPr>
          <w:rFonts w:ascii="Arial" w:hAnsi="Arial" w:eastAsia="Times New Roman" w:cs="Arial"/>
          <w:sz w:val="24"/>
          <w:szCs w:val="24"/>
        </w:rPr>
        <w:t xml:space="preserve"> g/l minus water and exempt solvents</w:t>
      </w:r>
    </w:p>
    <w:p>
      <w:pPr>
        <w:spacing w:after="0" w:line="240" w:lineRule="auto"/>
        <w:ind w:left="710" w:right="-20"/>
        <w:rPr>
          <w:rFonts w:hint="eastAsia"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eastAsiaTheme="minorEastAsia"/>
          <w:sz w:val="24"/>
          <w:szCs w:val="24"/>
          <w:lang w:val="en-US" w:eastAsia="zh-CN"/>
        </w:rPr>
        <w:t>293.15</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line="240" w:lineRule="auto"/>
        <w:ind w:left="710" w:right="-20"/>
        <w:rPr>
          <w:rFonts w:hint="eastAsia"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spacing w:after="0" w:line="240" w:lineRule="auto"/>
        <w:ind w:left="710" w:right="-20"/>
        <w:rPr>
          <w:rFonts w:ascii="Arial" w:hAnsi="Arial" w:eastAsia="Times New Roman" w:cs="Arial"/>
          <w:b/>
          <w:bCs/>
          <w:sz w:val="24"/>
          <w:szCs w:val="24"/>
        </w:rPr>
      </w:pPr>
    </w:p>
    <w:p>
      <w:pPr>
        <w:spacing w:after="0" w:line="240" w:lineRule="auto"/>
        <w:ind w:right="-20" w:firstLine="720" w:firstLineChars="30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after="0" w:line="240" w:lineRule="auto"/>
        <w:ind w:left="710" w:right="-20"/>
        <w:rPr>
          <w:rFonts w:ascii="Arial" w:hAnsi="Arial" w:cs="Arial" w:eastAsiaTheme="minorEastAsia"/>
          <w:b/>
          <w:bCs/>
          <w:sz w:val="24"/>
          <w:szCs w:val="24"/>
          <w:lang w:eastAsia="zh-CN"/>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10" w:after="0" w:line="240" w:lineRule="exact"/>
        <w:rPr>
          <w:rFonts w:ascii="Arial" w:hAnsi="Arial" w:cs="Arial"/>
          <w:sz w:val="24"/>
          <w:szCs w:val="24"/>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585470</wp:posOffset>
                </wp:positionH>
                <wp:positionV relativeFrom="paragraph">
                  <wp:posOffset>-38735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6.1pt;margin-top:-3.05pt;height:0.1pt;width:510pt;mso-position-horizontal-relative:page;z-index:-251644928;mso-width-relative:page;mso-height-relative:page;" coordorigin="850,-193" coordsize="10200,2" o:gfxdata="UEsDBAoAAAAAAIdO4kAAAAAAAAAAAAAAAAAEAAAAZHJzL1BLAwQUAAAACACHTuJANbbl9dgAAAAJ&#10;AQAADwAAAGRycy9kb3ducmV2LnhtbE2PwWrDMBBE74X+g9hCb4ksl4TGtRxKaHsKhSaF0tvG2tgm&#10;1spYip38feVTc9yZYfZNvr7YVgzU+8axBjVPQBCXzjRcafjev8+eQfiAbLB1TBqu5GFd3N/lmBk3&#10;8hcNu1CJWMI+Qw11CF0mpS9rsujnriOO3tH1FkM8+0qaHsdYbluZJslSWmw4fqixo01N5Wl3tho+&#10;Rhxfn9TbsD0dN9ff/eLzZ6tI68cHlbyACHQJ/2GY8CM6FJHp4M5svGg1rNI0JjXMlgrE5Cs1KYeo&#10;LFYgi1zeLij+AF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Nbbl9dgAAAAJ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374" w:leftChars="377" w:right="2456" w:hanging="545" w:hangingChars="227"/>
        <w:rPr>
          <w:rFonts w:ascii="Arial" w:hAnsi="Arial" w:cs="Arial"/>
          <w:sz w:val="24"/>
          <w:szCs w:val="24"/>
        </w:rPr>
      </w:pPr>
      <w:r>
        <w:rPr>
          <w:rFonts w:ascii="Arial" w:hAnsi="Arial" w:eastAsia="Times New Roman" w:cs="Arial"/>
          <w:b/>
          <w:bCs/>
          <w:sz w:val="24"/>
          <w:szCs w:val="24"/>
        </w:rPr>
        <w:t>15.1. Safety, health and environmental regulations/legislation</w:t>
      </w:r>
      <w:r>
        <w:rPr>
          <w:rFonts w:hint="eastAsia" w:ascii="Arial" w:hAnsi="Arial" w:cs="Arial"/>
          <w:b/>
          <w:bCs/>
          <w:sz w:val="24"/>
          <w:szCs w:val="24"/>
          <w:lang w:val="en-US" w:eastAsia="zh-CN"/>
        </w:rPr>
        <w:t xml:space="preserve"> </w:t>
      </w:r>
      <w:r>
        <w:rPr>
          <w:rFonts w:ascii="Arial" w:hAnsi="Arial" w:eastAsia="Times New Roman" w:cs="Arial"/>
          <w:b/>
          <w:bCs/>
          <w:sz w:val="24"/>
          <w:szCs w:val="24"/>
        </w:rPr>
        <w:t>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eastAsia="zh-CN"/>
        </w:rPr>
        <w:t>63.4</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 xml:space="preserve">VOC: </w:t>
      </w:r>
      <w:r>
        <w:rPr>
          <w:rFonts w:hint="eastAsia" w:ascii="Arial" w:hAnsi="Arial" w:cs="Arial" w:eastAsiaTheme="minorEastAsia"/>
          <w:sz w:val="24"/>
          <w:szCs w:val="24"/>
          <w:lang w:eastAsia="zh-CN"/>
        </w:rPr>
        <w:t>63.4</w:t>
      </w:r>
      <w:r>
        <w:rPr>
          <w:rFonts w:ascii="Arial" w:hAnsi="Arial" w:eastAsia="Times New Roman" w:cs="Arial"/>
          <w:sz w:val="24"/>
          <w:szCs w:val="24"/>
        </w:rPr>
        <w:t xml:space="preserve"> % </w:t>
      </w:r>
    </w:p>
    <w:p>
      <w:pPr>
        <w:tabs>
          <w:tab w:val="left" w:pos="3700"/>
        </w:tabs>
        <w:spacing w:after="0" w:line="254" w:lineRule="auto"/>
        <w:ind w:left="710" w:right="6176"/>
        <w:rPr>
          <w:rFonts w:hint="eastAsia" w:ascii="Arial" w:hAnsi="Arial" w:eastAsia="宋体" w:cs="Arial"/>
          <w:sz w:val="24"/>
          <w:szCs w:val="24"/>
          <w:lang w:val="en-US" w:eastAsia="zh-CN"/>
        </w:rPr>
      </w:pPr>
      <w:r>
        <w:rPr>
          <w:rFonts w:ascii="Arial" w:hAnsi="Arial" w:eastAsia="Times New Roman" w:cs="Arial"/>
          <w:sz w:val="24"/>
          <w:szCs w:val="24"/>
        </w:rPr>
        <w:t>Volatile CMR substances: n.a.</w:t>
      </w:r>
      <w:r>
        <w:rPr>
          <w:rFonts w:hint="eastAsia" w:ascii="Arial" w:hAnsi="Arial" w:cs="Arial"/>
          <w:sz w:val="24"/>
          <w:szCs w:val="24"/>
          <w:lang w:val="en-US" w:eastAsia="zh-CN"/>
        </w:rPr>
        <w:t xml:space="preserve"> </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position w:val="1"/>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before="13" w:after="0" w:line="220" w:lineRule="exact"/>
        <w:ind w:right="-20"/>
        <w:rPr>
          <w:rFonts w:ascii="Arial" w:hAnsi="Arial" w:eastAsia="Times New Roman" w:cs="Arial"/>
          <w:position w:val="1"/>
          <w:sz w:val="24"/>
          <w:szCs w:val="24"/>
        </w:rPr>
      </w:pPr>
    </w:p>
    <w:p>
      <w:pPr>
        <w:spacing w:before="40" w:after="0" w:line="254" w:lineRule="auto"/>
        <w:ind w:left="230" w:right="176"/>
        <w:rPr>
          <w:rFonts w:hint="default" w:ascii="Arial" w:hAnsi="Arial" w:cs="Arial"/>
          <w:sz w:val="24"/>
          <w:szCs w:val="24"/>
          <w:lang w:val="en-US"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Pr>
      <w:pStyle w:val="5"/>
      <w:jc w:val="both"/>
      <w:rPr>
        <w:rFonts w:hint="default" w:ascii="Arial" w:hAnsi="Arial" w:cs="Arial"/>
        <w:b w:val="0"/>
        <w:bCs w:val="0"/>
        <w:sz w:val="24"/>
        <w:szCs w:val="24"/>
      </w:rPr>
    </w:pPr>
    <w:r>
      <w:rPr>
        <w:rFonts w:hint="default" w:ascii="Arial" w:hAnsi="Arial" w:cs="Arial"/>
        <w:b w:val="0"/>
        <w:bCs w:val="0"/>
        <w:sz w:val="24"/>
        <w:szCs w:val="24"/>
      </w:rPr>
      <w:t>Product Name: RZ-AX2017</w:t>
    </w:r>
    <w:r>
      <w:rPr>
        <w:rFonts w:hint="eastAsia" w:ascii="Arial" w:hAnsi="Arial" w:cs="Arial"/>
        <w:b w:val="0"/>
        <w:bCs w:val="0"/>
        <w:sz w:val="24"/>
        <w:szCs w:val="24"/>
        <w:lang w:val="en-US" w:eastAsia="zh-CN"/>
      </w:rPr>
      <w:t xml:space="preserve"> </w:t>
    </w:r>
    <w:r>
      <w:rPr>
        <w:rFonts w:hint="default" w:ascii="Arial" w:hAnsi="Arial" w:cs="Arial"/>
        <w:b w:val="0"/>
        <w:bCs w:val="0"/>
        <w:sz w:val="24"/>
        <w:szCs w:val="24"/>
      </w:rPr>
      <w:t xml:space="preserve"> Plastic Particle Topcoat                 </w:t>
    </w:r>
  </w:p>
  <w:p>
    <w:pPr>
      <w:pStyle w:val="5"/>
      <w:jc w:val="both"/>
      <w:rPr>
        <w:rFonts w:hint="default" w:ascii="Arial" w:hAnsi="Arial" w:cs="Arial"/>
        <w:b w:val="0"/>
        <w:bCs w:val="0"/>
        <w:sz w:val="24"/>
        <w:szCs w:val="24"/>
      </w:rPr>
    </w:pPr>
    <w:r>
      <w:rPr>
        <w:rFonts w:hint="default" w:ascii="Arial" w:hAnsi="Arial" w:cs="Arial"/>
        <w:b w:val="0"/>
        <w:bCs w:val="0"/>
        <w:sz w:val="24"/>
        <w:szCs w:val="24"/>
      </w:rPr>
      <w:t>MSDS No.：SDS-2019-12-RZ-AX2017</w:t>
    </w:r>
    <w:r>
      <w:rPr>
        <w:rFonts w:hint="eastAsia" w:ascii="Arial" w:hAnsi="Arial" w:cs="Arial"/>
        <w:b w:val="0"/>
        <w:bCs w:val="0"/>
        <w:sz w:val="24"/>
        <w:szCs w:val="24"/>
        <w:lang w:val="en-US" w:eastAsia="zh-CN"/>
      </w:rPr>
      <w:t xml:space="preserve"> </w:t>
    </w:r>
    <w:r>
      <w:rPr>
        <w:rFonts w:hint="default" w:ascii="Arial" w:hAnsi="Arial" w:cs="Arial"/>
        <w:b w:val="0"/>
        <w:bCs w:val="0"/>
        <w:sz w:val="24"/>
        <w:szCs w:val="24"/>
      </w:rPr>
      <w:t xml:space="preserve"> Plastic Particle Topcoat</w:t>
    </w:r>
  </w:p>
  <w:p>
    <w:pPr>
      <w:pStyle w:val="5"/>
      <w:jc w:val="both"/>
      <w:rPr>
        <w:sz w:val="20"/>
        <w:szCs w:val="20"/>
      </w:rPr>
    </w:pPr>
    <w:r>
      <w:rPr>
        <w:rFonts w:hint="default" w:ascii="Arial" w:hAnsi="Arial" w:cs="Arial"/>
        <w:b w:val="0"/>
        <w:bCs w:val="0"/>
        <w:sz w:val="24"/>
        <w:szCs w:val="24"/>
      </w:rPr>
      <w:t xml:space="preserve">Revision Date: </w:t>
    </w:r>
    <w:r>
      <w:rPr>
        <w:rFonts w:hint="eastAsia" w:ascii="Arial" w:hAnsi="Arial" w:cs="Arial"/>
        <w:b w:val="0"/>
        <w:bCs w:val="0"/>
        <w:sz w:val="24"/>
        <w:szCs w:val="24"/>
      </w:rPr>
      <w:t>01</w:t>
    </w:r>
    <w:r>
      <w:rPr>
        <w:rFonts w:hint="default" w:ascii="Arial" w:hAnsi="Arial" w:cs="Arial"/>
        <w:b w:val="0"/>
        <w:bCs w:val="0"/>
        <w:sz w:val="24"/>
        <w:szCs w:val="24"/>
      </w:rPr>
      <w:t>.</w:t>
    </w:r>
    <w:r>
      <w:rPr>
        <w:rFonts w:hint="eastAsia" w:ascii="Arial" w:hAnsi="Arial" w:cs="Arial"/>
        <w:b w:val="0"/>
        <w:bCs w:val="0"/>
        <w:sz w:val="24"/>
        <w:szCs w:val="24"/>
      </w:rPr>
      <w:t>12</w:t>
    </w:r>
    <w:r>
      <w:rPr>
        <w:rFonts w:hint="default" w:ascii="Arial" w:hAnsi="Arial" w:cs="Arial"/>
        <w:b w:val="0"/>
        <w:bCs w:val="0"/>
        <w:sz w:val="24"/>
        <w:szCs w:val="24"/>
      </w:rPr>
      <w:t>.201</w:t>
    </w:r>
    <w:r>
      <w:rPr>
        <w:rFonts w:hint="eastAsia" w:ascii="Arial" w:hAnsi="Arial" w:cs="Arial"/>
        <w:b w:val="0"/>
        <w:bCs w:val="0"/>
        <w:sz w:val="24"/>
        <w:szCs w:val="24"/>
      </w:rPr>
      <w:t>9</w:t>
    </w:r>
    <w:r>
      <w:rPr>
        <w:rFonts w:hint="default" w:ascii="Arial" w:hAnsi="Arial" w:cs="Arial"/>
        <w:b w:val="0"/>
        <w:bCs w:val="0"/>
        <w:sz w:val="24"/>
        <w:szCs w:val="24"/>
      </w:rPr>
      <w:t xml:space="preserve">                    </w:t>
    </w:r>
    <w:r>
      <w:rPr>
        <w:rFonts w:hint="eastAsia" w:ascii="Arial" w:hAnsi="Arial" w:cs="Arial"/>
        <w:b w:val="0"/>
        <w:bCs w:val="0"/>
        <w:sz w:val="24"/>
        <w:szCs w:val="24"/>
        <w:lang w:val="en-US" w:eastAsia="zh-CN"/>
      </w:rPr>
      <w:t xml:space="preserve">                        </w:t>
    </w:r>
    <w:r>
      <w:rPr>
        <w:rFonts w:hint="eastAsia" w:ascii="Arial" w:hAnsi="Arial" w:cs="Arial"/>
        <w:b w:val="0"/>
        <w:bCs w:val="0"/>
        <w:sz w:val="24"/>
        <w:szCs w:val="24"/>
      </w:rPr>
      <w:t>Version No.：1.0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519F7"/>
    <w:multiLevelType w:val="multilevel"/>
    <w:tmpl w:val="12C519F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434A7"/>
    <w:rsid w:val="00076CDD"/>
    <w:rsid w:val="00084E69"/>
    <w:rsid w:val="000C4E36"/>
    <w:rsid w:val="000C5983"/>
    <w:rsid w:val="000E3BCF"/>
    <w:rsid w:val="0014711B"/>
    <w:rsid w:val="00166B5A"/>
    <w:rsid w:val="00167B81"/>
    <w:rsid w:val="001A1FF9"/>
    <w:rsid w:val="002004A1"/>
    <w:rsid w:val="0025645E"/>
    <w:rsid w:val="0027502D"/>
    <w:rsid w:val="00296BAF"/>
    <w:rsid w:val="002A7A3B"/>
    <w:rsid w:val="002B4BDE"/>
    <w:rsid w:val="002E352B"/>
    <w:rsid w:val="00301EF9"/>
    <w:rsid w:val="003357AA"/>
    <w:rsid w:val="00373A58"/>
    <w:rsid w:val="003E48FA"/>
    <w:rsid w:val="00411876"/>
    <w:rsid w:val="004318AD"/>
    <w:rsid w:val="00444C13"/>
    <w:rsid w:val="00451215"/>
    <w:rsid w:val="0046066A"/>
    <w:rsid w:val="004A6CBB"/>
    <w:rsid w:val="00504A10"/>
    <w:rsid w:val="00530800"/>
    <w:rsid w:val="0053448E"/>
    <w:rsid w:val="005511AE"/>
    <w:rsid w:val="0059411F"/>
    <w:rsid w:val="005C2605"/>
    <w:rsid w:val="005E2CF6"/>
    <w:rsid w:val="005F4ACA"/>
    <w:rsid w:val="006336F6"/>
    <w:rsid w:val="006755BA"/>
    <w:rsid w:val="00755A48"/>
    <w:rsid w:val="007721CC"/>
    <w:rsid w:val="008028A7"/>
    <w:rsid w:val="0082014C"/>
    <w:rsid w:val="008659A4"/>
    <w:rsid w:val="008B33B5"/>
    <w:rsid w:val="008C4EC2"/>
    <w:rsid w:val="00900859"/>
    <w:rsid w:val="00900888"/>
    <w:rsid w:val="009429A1"/>
    <w:rsid w:val="0097414C"/>
    <w:rsid w:val="009E510D"/>
    <w:rsid w:val="00A31615"/>
    <w:rsid w:val="00A53DBC"/>
    <w:rsid w:val="00A657A8"/>
    <w:rsid w:val="00A71F6B"/>
    <w:rsid w:val="00B17DF4"/>
    <w:rsid w:val="00B40D41"/>
    <w:rsid w:val="00B75AC9"/>
    <w:rsid w:val="00BD2861"/>
    <w:rsid w:val="00C460D7"/>
    <w:rsid w:val="00C77B2E"/>
    <w:rsid w:val="00CF6BDF"/>
    <w:rsid w:val="00D16F94"/>
    <w:rsid w:val="00D44E7E"/>
    <w:rsid w:val="00DD6191"/>
    <w:rsid w:val="00E04D00"/>
    <w:rsid w:val="00E612BD"/>
    <w:rsid w:val="00E6437A"/>
    <w:rsid w:val="00E67BE8"/>
    <w:rsid w:val="00EA2459"/>
    <w:rsid w:val="00ED1914"/>
    <w:rsid w:val="00F378E2"/>
    <w:rsid w:val="00F54B8E"/>
    <w:rsid w:val="00F63733"/>
    <w:rsid w:val="00F94E61"/>
    <w:rsid w:val="09292EA9"/>
    <w:rsid w:val="3BEE20F7"/>
    <w:rsid w:val="4AA9742C"/>
    <w:rsid w:val="5A27664C"/>
    <w:rsid w:val="65C61F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locked/>
    <w:uiPriority w:val="99"/>
    <w:rPr>
      <w:rFonts w:cs="Times New Roman"/>
      <w:sz w:val="18"/>
      <w:szCs w:val="18"/>
    </w:rPr>
  </w:style>
  <w:style w:type="paragraph" w:customStyle="1" w:styleId="11">
    <w:name w:val="Defaul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uiPriority w:val="99"/>
    <w:rPr>
      <w:rFonts w:cs="Times New Roman"/>
      <w:color w:val="auto"/>
    </w:rPr>
  </w:style>
  <w:style w:type="character" w:customStyle="1" w:styleId="13">
    <w:name w:val="批注框文本 Char"/>
    <w:link w:val="2"/>
    <w:semiHidden/>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1BADE-C1AE-47C6-BD71-2F9C0533D7E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2987</Words>
  <Characters>17698</Characters>
  <Lines>149</Lines>
  <Paragraphs>42</Paragraphs>
  <TotalTime>62</TotalTime>
  <ScaleCrop>false</ScaleCrop>
  <LinksUpToDate>false</LinksUpToDate>
  <CharactersWithSpaces>20486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波小录</cp:lastModifiedBy>
  <dcterms:modified xsi:type="dcterms:W3CDTF">2022-09-02T07:44:28Z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B25EBBEDA322476DA47B0052232AE47A</vt:lpwstr>
  </property>
</Properties>
</file>